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марта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209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ООО «ПРОЕКТ 86» </w:t>
      </w:r>
      <w:r>
        <w:rPr>
          <w:rFonts w:ascii="Times New Roman" w:eastAsia="Times New Roman" w:hAnsi="Times New Roman" w:cs="Times New Roman"/>
          <w:b/>
          <w:bCs/>
        </w:rPr>
        <w:t>Колесова Александра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Колесов А.М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«ПРОЕКТ 86»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офис 11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>п.3</w:t>
      </w:r>
      <w:r>
        <w:rPr>
          <w:rFonts w:ascii="Times New Roman" w:eastAsia="Times New Roman" w:hAnsi="Times New Roman" w:cs="Times New Roman"/>
        </w:rPr>
        <w:t xml:space="preserve">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Колесов А.М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Колесов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А.М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.02.2024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06.02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31.01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.02.2024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Колесов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А.М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</w:t>
      </w:r>
      <w:r>
        <w:rPr>
          <w:rFonts w:ascii="Times New Roman" w:eastAsia="Times New Roman" w:hAnsi="Times New Roman" w:cs="Times New Roman"/>
        </w:rPr>
        <w:t>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Колесов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А.М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директора ООО «ПРОЕКТ 86» </w:t>
      </w:r>
      <w:r>
        <w:rPr>
          <w:rFonts w:ascii="Times New Roman" w:eastAsia="Times New Roman" w:hAnsi="Times New Roman" w:cs="Times New Roman"/>
          <w:b/>
          <w:bCs/>
        </w:rPr>
        <w:t>Колесова Александра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797027000000000</w:t>
      </w:r>
      <w:r>
        <w:rPr>
          <w:rFonts w:ascii="Times New Roman" w:eastAsia="Times New Roman" w:hAnsi="Times New Roman" w:cs="Times New Roman"/>
        </w:rPr>
        <w:t>89574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6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